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F2170" w14:textId="3FF4F633" w:rsidR="00A81C5C" w:rsidRDefault="0002213A" w:rsidP="0002213A">
      <w:pPr>
        <w:jc w:val="both"/>
      </w:pPr>
      <w:r w:rsidRPr="0002213A">
        <w:drawing>
          <wp:inline distT="0" distB="0" distL="0" distR="0" wp14:anchorId="3395EC2D" wp14:editId="19925889">
            <wp:extent cx="2343477" cy="676369"/>
            <wp:effectExtent l="0" t="0" r="0" b="9525"/>
            <wp:docPr id="12210257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0257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EE3C" w14:textId="77777777" w:rsidR="0002213A" w:rsidRDefault="0002213A" w:rsidP="0002213A">
      <w:pPr>
        <w:jc w:val="both"/>
      </w:pPr>
    </w:p>
    <w:p w14:paraId="4EABF7AF" w14:textId="0C64FE96" w:rsidR="0002213A" w:rsidRPr="0002213A" w:rsidRDefault="0002213A" w:rsidP="0002213A">
      <w:pPr>
        <w:jc w:val="both"/>
        <w:rPr>
          <w:b/>
          <w:bCs/>
          <w:sz w:val="28"/>
          <w:szCs w:val="28"/>
        </w:rPr>
      </w:pPr>
      <w:r w:rsidRPr="0002213A">
        <w:rPr>
          <w:b/>
          <w:bCs/>
          <w:sz w:val="28"/>
          <w:szCs w:val="28"/>
        </w:rPr>
        <w:t>印度神像為何多手多面？</w:t>
      </w:r>
      <w:r w:rsidRPr="0002213A">
        <w:rPr>
          <w:b/>
          <w:bCs/>
          <w:sz w:val="28"/>
          <w:szCs w:val="28"/>
        </w:rPr>
        <w:t xml:space="preserve"> </w:t>
      </w:r>
      <w:r w:rsidRPr="0002213A">
        <w:rPr>
          <w:b/>
          <w:bCs/>
          <w:sz w:val="28"/>
          <w:szCs w:val="28"/>
        </w:rPr>
        <w:t>宗博館邀學者解密</w:t>
      </w:r>
    </w:p>
    <w:p w14:paraId="49E21A46" w14:textId="77777777" w:rsidR="0002213A" w:rsidRDefault="0002213A" w:rsidP="0002213A">
      <w:pPr>
        <w:jc w:val="both"/>
      </w:pPr>
    </w:p>
    <w:p w14:paraId="3DE99C9C" w14:textId="5D3A844C" w:rsidR="0002213A" w:rsidRDefault="0002213A" w:rsidP="0002213A">
      <w:pPr>
        <w:jc w:val="both"/>
      </w:pPr>
      <w:r>
        <w:rPr>
          <w:noProof/>
        </w:rPr>
        <w:drawing>
          <wp:inline distT="0" distB="0" distL="0" distR="0" wp14:anchorId="28F24DEC" wp14:editId="07BFF128">
            <wp:extent cx="5274310" cy="3955733"/>
            <wp:effectExtent l="0" t="0" r="2540" b="6985"/>
            <wp:docPr id="1" name="圖片 2" descr="世界宗教博物邀請馬來西亞學者陳亞才解析印度教文化。（圖／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世界宗教博物邀請馬來西亞學者陳亞才解析印度教文化。（圖／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421A2" w14:textId="0C6B9E26" w:rsidR="0002213A" w:rsidRPr="0002213A" w:rsidRDefault="0002213A" w:rsidP="0002213A">
      <w:pPr>
        <w:jc w:val="both"/>
        <w:rPr>
          <w:sz w:val="20"/>
          <w:szCs w:val="20"/>
        </w:rPr>
      </w:pPr>
      <w:r w:rsidRPr="0002213A">
        <w:rPr>
          <w:sz w:val="20"/>
          <w:szCs w:val="20"/>
        </w:rPr>
        <w:t>世界宗教博物邀請馬來西亞學者陳亞才解析印度教文化。（圖／世界宗教博物館提供）</w:t>
      </w:r>
    </w:p>
    <w:p w14:paraId="12A9E414" w14:textId="77777777" w:rsidR="0002213A" w:rsidRDefault="0002213A" w:rsidP="0002213A">
      <w:pPr>
        <w:jc w:val="both"/>
      </w:pPr>
    </w:p>
    <w:p w14:paraId="5C8FB6AA" w14:textId="77777777" w:rsidR="0002213A" w:rsidRDefault="0002213A" w:rsidP="0002213A">
      <w:pPr>
        <w:jc w:val="both"/>
        <w:rPr>
          <w:rFonts w:hint="eastAsia"/>
        </w:rPr>
      </w:pPr>
      <w:r>
        <w:rPr>
          <w:rFonts w:hint="eastAsia"/>
        </w:rPr>
        <w:t>印度教的神像常見多手、多面造型，手中拿著不同法器，看似充滿神祕色彩，威嚴肅穆中又帶著一股令人望而生畏的氛圍。世界宗教博物館日前舉辦「掌櫃講堂：永恆之法～走進印度教的文明、萬神與廟宇之美」，邀請馬來西亞文化研究學者陳亞才，從文明歷史、宗教經典、神祇到廟宇建築，解密印度教流傳數千年的文化密碼。</w:t>
      </w:r>
    </w:p>
    <w:p w14:paraId="105F8348" w14:textId="77777777" w:rsidR="0002213A" w:rsidRDefault="0002213A" w:rsidP="0002213A">
      <w:pPr>
        <w:jc w:val="both"/>
      </w:pPr>
    </w:p>
    <w:p w14:paraId="3B3C2DBC" w14:textId="77777777" w:rsidR="0002213A" w:rsidRDefault="0002213A" w:rsidP="0002213A">
      <w:pPr>
        <w:jc w:val="both"/>
        <w:rPr>
          <w:rFonts w:hint="eastAsia"/>
        </w:rPr>
      </w:pPr>
      <w:r>
        <w:rPr>
          <w:rFonts w:hint="eastAsia"/>
        </w:rPr>
        <w:lastRenderedPageBreak/>
        <w:t>陳亞才出生於馬來西亞柔佛，畢業於臺大歷史學系，畢業後返回馬來西亞，長期在民間團體服務，深耕跨族群文化推廣，涉足印度文化研究，</w:t>
      </w:r>
      <w:r>
        <w:rPr>
          <w:rFonts w:hint="eastAsia"/>
        </w:rPr>
        <w:t>2012</w:t>
      </w:r>
      <w:r>
        <w:rPr>
          <w:rFonts w:hint="eastAsia"/>
        </w:rPr>
        <w:t>年起開始系統性地研究馬來西亞印度教廟宇。現為元生基金會執行長、馬來西亞文化資產保存基金委員會主席，著有《與葉亞來相遇吉隆坡》、《瑰麗的萬神廟：馬來西亞印度教與印度廟文集》等多部著作。</w:t>
      </w:r>
    </w:p>
    <w:p w14:paraId="0EB35134" w14:textId="77777777" w:rsidR="0002213A" w:rsidRDefault="0002213A" w:rsidP="0002213A">
      <w:pPr>
        <w:jc w:val="both"/>
      </w:pPr>
    </w:p>
    <w:p w14:paraId="103EEB72" w14:textId="77777777" w:rsidR="0002213A" w:rsidRPr="0002213A" w:rsidRDefault="0002213A" w:rsidP="0002213A">
      <w:pPr>
        <w:jc w:val="both"/>
        <w:rPr>
          <w:rFonts w:hint="eastAsia"/>
          <w:b/>
          <w:bCs/>
        </w:rPr>
      </w:pPr>
      <w:r w:rsidRPr="0002213A">
        <w:rPr>
          <w:rFonts w:hint="eastAsia"/>
          <w:b/>
          <w:bCs/>
        </w:rPr>
        <w:t>神像多手多面不是奇想　藏著象徵語言</w:t>
      </w:r>
    </w:p>
    <w:p w14:paraId="78429330" w14:textId="6A682991" w:rsidR="0002213A" w:rsidRDefault="0002213A" w:rsidP="0002213A">
      <w:pPr>
        <w:jc w:val="both"/>
      </w:pPr>
      <w:r>
        <w:rPr>
          <w:rFonts w:hint="eastAsia"/>
        </w:rPr>
        <w:t>為了讓參與學員對印度教有一定的認知，講座開始前，宗博館典藏研究員楊勝斌引領學員參觀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日至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日舉行的「文物開窗～永恆之法：印度教文物特展」，從世界宗教展示大廳的印度教、錫克教展櫃，從實際文物搭配神話故事，認識印度教文化的多元面貌。</w:t>
      </w:r>
    </w:p>
    <w:p w14:paraId="2F9C2831" w14:textId="77777777" w:rsidR="0002213A" w:rsidRDefault="0002213A" w:rsidP="0002213A">
      <w:pPr>
        <w:jc w:val="both"/>
      </w:pPr>
    </w:p>
    <w:p w14:paraId="6F416FA9" w14:textId="407F5DAD" w:rsidR="0002213A" w:rsidRDefault="0002213A" w:rsidP="0002213A">
      <w:pPr>
        <w:jc w:val="both"/>
      </w:pPr>
      <w:r>
        <w:rPr>
          <w:noProof/>
        </w:rPr>
        <w:drawing>
          <wp:inline distT="0" distB="0" distL="0" distR="0" wp14:anchorId="7139911C" wp14:editId="6156E536">
            <wp:extent cx="5274310" cy="3518954"/>
            <wp:effectExtent l="0" t="0" r="2540" b="5715"/>
            <wp:docPr id="2" name="圖片 3" descr="世界宗教博物館典藏研究員楊勝斌（右1）為參與講座的學員導覽「文物開窗~永恆之法：印度教文物特展」。（圖／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世界宗教博物館典藏研究員楊勝斌（右1）為參與講座的學員導覽「文物開窗~永恆之法：印度教文物特展」。（圖／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32B26" w14:textId="77777777" w:rsidR="0002213A" w:rsidRPr="0002213A" w:rsidRDefault="0002213A" w:rsidP="0002213A">
      <w:pPr>
        <w:jc w:val="both"/>
        <w:rPr>
          <w:rFonts w:hint="eastAsia"/>
          <w:sz w:val="20"/>
          <w:szCs w:val="20"/>
        </w:rPr>
      </w:pPr>
      <w:r w:rsidRPr="0002213A">
        <w:rPr>
          <w:rFonts w:hint="eastAsia"/>
          <w:sz w:val="20"/>
          <w:szCs w:val="20"/>
        </w:rPr>
        <w:t>世界宗教博物館典藏研究員楊勝斌（右</w:t>
      </w:r>
      <w:r w:rsidRPr="0002213A">
        <w:rPr>
          <w:rFonts w:hint="eastAsia"/>
          <w:sz w:val="20"/>
          <w:szCs w:val="20"/>
        </w:rPr>
        <w:t>1</w:t>
      </w:r>
      <w:r w:rsidRPr="0002213A">
        <w:rPr>
          <w:rFonts w:hint="eastAsia"/>
          <w:sz w:val="20"/>
          <w:szCs w:val="20"/>
        </w:rPr>
        <w:t>）為參與講座的學員導覽「文物開窗</w:t>
      </w:r>
      <w:r w:rsidRPr="0002213A">
        <w:rPr>
          <w:rFonts w:hint="eastAsia"/>
          <w:sz w:val="20"/>
          <w:szCs w:val="20"/>
        </w:rPr>
        <w:t>~</w:t>
      </w:r>
      <w:r w:rsidRPr="0002213A">
        <w:rPr>
          <w:rFonts w:hint="eastAsia"/>
          <w:sz w:val="20"/>
          <w:szCs w:val="20"/>
        </w:rPr>
        <w:t>永恆之法：印度教文物特展」。（圖／世界宗教博物館提供）</w:t>
      </w:r>
    </w:p>
    <w:p w14:paraId="18E3FABD" w14:textId="77777777" w:rsidR="0002213A" w:rsidRDefault="0002213A" w:rsidP="0002213A">
      <w:pPr>
        <w:jc w:val="both"/>
      </w:pPr>
    </w:p>
    <w:p w14:paraId="097B2B79" w14:textId="51432B61" w:rsidR="0002213A" w:rsidRDefault="0002213A" w:rsidP="0002213A">
      <w:pPr>
        <w:jc w:val="both"/>
        <w:rPr>
          <w:rFonts w:hint="eastAsia"/>
        </w:rPr>
      </w:pPr>
      <w:r>
        <w:rPr>
          <w:rFonts w:hint="eastAsia"/>
        </w:rPr>
        <w:t>在演講中，陳亞才從印度文明起源切入，梳理歷史、宗教與社會制度發展，並介</w:t>
      </w:r>
      <w:r>
        <w:rPr>
          <w:rFonts w:hint="eastAsia"/>
        </w:rPr>
        <w:lastRenderedPageBreak/>
        <w:t>紹《羅摩衍那》、《摩訶婆羅多》、《薄伽梵歌》等重要經典，以及宗教慶典的文化背景，深入淺出地解析印度教的內涵。</w:t>
      </w:r>
    </w:p>
    <w:p w14:paraId="553F6C31" w14:textId="77777777" w:rsidR="0002213A" w:rsidRDefault="0002213A" w:rsidP="0002213A">
      <w:pPr>
        <w:jc w:val="both"/>
      </w:pPr>
    </w:p>
    <w:p w14:paraId="7D266638" w14:textId="77777777" w:rsidR="0002213A" w:rsidRDefault="0002213A" w:rsidP="0002213A">
      <w:pPr>
        <w:jc w:val="both"/>
        <w:rPr>
          <w:rFonts w:hint="eastAsia"/>
        </w:rPr>
      </w:pPr>
      <w:r>
        <w:rPr>
          <w:rFonts w:hint="eastAsia"/>
        </w:rPr>
        <w:t>印度教擁有龐大的神祇系統，神像的多手、多面、特殊坐騎及各種法器，往往令人眼花撩亂。陳亞才解釋，這些佛像的造型並非單純的奇幻想像，而是一套細密的象徵語言；不同手勢、持物、坐騎與姿態，都可能呈現神祇的力量、性格及職司。掌握這些線索後，再重新審視印度教的諸多神像，不再只是陌生文化的宗教藝術品，而是一篇篇可以「閱讀」的文化故事。</w:t>
      </w:r>
    </w:p>
    <w:p w14:paraId="452C6B0E" w14:textId="77777777" w:rsidR="0002213A" w:rsidRDefault="0002213A" w:rsidP="0002213A">
      <w:pPr>
        <w:jc w:val="both"/>
      </w:pPr>
    </w:p>
    <w:p w14:paraId="5413C38A" w14:textId="77777777" w:rsidR="0002213A" w:rsidRPr="0002213A" w:rsidRDefault="0002213A" w:rsidP="0002213A">
      <w:pPr>
        <w:jc w:val="both"/>
        <w:rPr>
          <w:rFonts w:hint="eastAsia"/>
          <w:b/>
          <w:bCs/>
        </w:rPr>
      </w:pPr>
      <w:r w:rsidRPr="0002213A">
        <w:rPr>
          <w:rFonts w:hint="eastAsia"/>
          <w:b/>
          <w:bCs/>
        </w:rPr>
        <w:t>認識不同信仰　也是重新理解自己</w:t>
      </w:r>
    </w:p>
    <w:p w14:paraId="0763EDF4" w14:textId="77777777" w:rsidR="0002213A" w:rsidRDefault="0002213A" w:rsidP="0002213A">
      <w:pPr>
        <w:jc w:val="both"/>
        <w:rPr>
          <w:rFonts w:hint="eastAsia"/>
        </w:rPr>
      </w:pPr>
      <w:r>
        <w:rPr>
          <w:rFonts w:hint="eastAsia"/>
        </w:rPr>
        <w:t>講座結束後，學員們均表示獲益良多。例如林姓學員分享，從觀察神像、辨識法器開始，逐漸理解印度教文物背後所承載的世界觀，也在接觸不同信仰時，重新思考自己的生命經驗；吳姓學員則認為，接觸不同學者及文化觀點，有助擴大看待世界的視野。</w:t>
      </w:r>
    </w:p>
    <w:p w14:paraId="1FAC564D" w14:textId="77777777" w:rsidR="0002213A" w:rsidRDefault="0002213A" w:rsidP="0002213A">
      <w:pPr>
        <w:jc w:val="both"/>
      </w:pPr>
    </w:p>
    <w:p w14:paraId="1EFD9810" w14:textId="31778557" w:rsidR="0002213A" w:rsidRDefault="0002213A" w:rsidP="0002213A">
      <w:pPr>
        <w:jc w:val="both"/>
      </w:pPr>
      <w:r>
        <w:rPr>
          <w:rFonts w:hint="eastAsia"/>
        </w:rPr>
        <w:t>世界宗教博物館表示，不同宗教看似各有信仰體系，背後其實都觸及人類長久以來對生命的共同提問，包括世界從何而來、生命如何安頓，以及人如何與他者、自然及宇宙相處。透過展覽與講座，希望民眾欣賞印度教萬神世界之美的同時，也從理解不同文化開始，學習尊重差異，尋找多元信仰共生的可能。</w:t>
      </w:r>
    </w:p>
    <w:p w14:paraId="26C05179" w14:textId="77777777" w:rsidR="0002213A" w:rsidRDefault="0002213A" w:rsidP="0002213A">
      <w:pPr>
        <w:jc w:val="both"/>
      </w:pPr>
    </w:p>
    <w:p w14:paraId="705A694A" w14:textId="08E48895" w:rsidR="0002213A" w:rsidRDefault="0002213A" w:rsidP="0002213A">
      <w:pPr>
        <w:jc w:val="both"/>
      </w:pPr>
      <w:r>
        <w:rPr>
          <w:noProof/>
        </w:rPr>
        <w:lastRenderedPageBreak/>
        <w:drawing>
          <wp:inline distT="0" distB="0" distL="0" distR="0" wp14:anchorId="425882A3" wp14:editId="70FD0247">
            <wp:extent cx="5274310" cy="3518954"/>
            <wp:effectExtent l="0" t="0" r="2540" b="5715"/>
            <wp:docPr id="3" name="圖片 4" descr="世界宗教博物館日舉辦「掌櫃講堂」，邀請馬來西亞文化研究學者陳亞才解析印度教的演變與世界觀。（圖／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世界宗教博物館日舉辦「掌櫃講堂」，邀請馬來西亞文化研究學者陳亞才解析印度教的演變與世界觀。（圖／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7ACF" w14:textId="5787583C" w:rsidR="0002213A" w:rsidRPr="0002213A" w:rsidRDefault="0002213A" w:rsidP="0002213A">
      <w:pPr>
        <w:jc w:val="both"/>
        <w:rPr>
          <w:sz w:val="20"/>
          <w:szCs w:val="20"/>
        </w:rPr>
      </w:pPr>
      <w:r w:rsidRPr="0002213A">
        <w:rPr>
          <w:sz w:val="20"/>
          <w:szCs w:val="20"/>
        </w:rPr>
        <w:t>世界宗教博物館日舉辦「掌櫃講堂」，邀請馬來西亞文化研究學者陳亞才解析印度教的演變與世界觀。（圖／世界宗教博物館提供）</w:t>
      </w:r>
    </w:p>
    <w:p w14:paraId="4C7D7B84" w14:textId="77777777" w:rsidR="0002213A" w:rsidRDefault="0002213A" w:rsidP="0002213A">
      <w:pPr>
        <w:jc w:val="both"/>
        <w:rPr>
          <w:rFonts w:hint="eastAsia"/>
        </w:rPr>
      </w:pPr>
    </w:p>
    <w:p w14:paraId="6695219E" w14:textId="2093AF18" w:rsidR="0002213A" w:rsidRDefault="0002213A" w:rsidP="0002213A">
      <w:pPr>
        <w:jc w:val="both"/>
      </w:pPr>
      <w:hyperlink r:id="rId8" w:history="1">
        <w:r w:rsidRPr="003221A1">
          <w:rPr>
            <w:rStyle w:val="ae"/>
          </w:rPr>
          <w:t>https://www.chinatimes.com/realtimenews/20260902003934-260418?chdtv</w:t>
        </w:r>
      </w:hyperlink>
    </w:p>
    <w:p w14:paraId="302D3320" w14:textId="77777777" w:rsidR="0002213A" w:rsidRPr="0002213A" w:rsidRDefault="0002213A" w:rsidP="0002213A">
      <w:pPr>
        <w:jc w:val="both"/>
        <w:rPr>
          <w:rFonts w:hint="eastAsia"/>
        </w:rPr>
      </w:pPr>
    </w:p>
    <w:sectPr w:rsidR="0002213A" w:rsidRPr="000221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3A"/>
    <w:rsid w:val="0002213A"/>
    <w:rsid w:val="006A7A94"/>
    <w:rsid w:val="00A81C5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3D03"/>
  <w15:chartTrackingRefBased/>
  <w15:docId w15:val="{131368EB-18C6-4E9F-AB05-CFB621DF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221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13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13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13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13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13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13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2213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22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2213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22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2213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2213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2213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2213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22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1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2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1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221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221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21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21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2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221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213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2213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22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natimes.com/realtimenews/20260902003934-260418?chdt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2026-09-04T06:08:00Z</dcterms:created>
  <dcterms:modified xsi:type="dcterms:W3CDTF">2026-09-04T06:09:00Z</dcterms:modified>
</cp:coreProperties>
</file>